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cs="宋体"/>
        </w:rPr>
        <w:br w:type="textWrapping"/>
      </w: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邯郸市物业服务标准化管理</w:t>
      </w: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示范项目考核标准及评分细则</w:t>
      </w:r>
    </w:p>
    <w:p>
      <w:pPr>
        <w:spacing w:line="4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（住宅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小区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8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一、基础管理服务（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fldChar w:fldCharType="begin"/>
            </w:r>
            <w: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国有土地使用证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、建设用地规划许可证、</w:t>
            </w:r>
            <w:r>
              <w:fldChar w:fldCharType="begin"/>
            </w:r>
            <w: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建设工程规划许可证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建筑工程施工许可证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商品房预售许可证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物业承接查验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业主专属部分承接查验资料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遗留问题处理记录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竣工资料移交记录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物业承接查验备案证明及其他有关文件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物业服务合同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前期物业服务合同符合法律法规规定，无侵害业主合法权益的内容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同一区域由一家物业服务企业提供服务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入住服务管理资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料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业主基础信息资料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专项维修资金制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度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维修资金使用情况及时向业主公布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业主大会业主委员会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与业主委员会工作联系记录完整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对业主委员会有关物业服务的意见建议有措施、有反馈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项目管理制度及考核办法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人事管理制度及考核办法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员工培训制度及考核办法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财务管理制度及考核办法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房屋及设施设备维修养护管理制度及考核办法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客户服务管理制度及考核办法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公共秩序管理制度及考核办法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公共环境清洁管理制度及考核办法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园林绿化管理制度及考核办法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节能降耗环保管理制度及考核办法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安全生产管理制度及考核办法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安全警示标识管理制度及考核办法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突发事件应急机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制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制定自然灾害、公共卫生、社会安全等突发事件的配合性应急预案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定期进行突发事件应急演练，并有相应演练记录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应急通讯、广播设备处于良好状态，可随时启用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人员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（十）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档案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共用部位及共用设施设备维修养护计划及巡检、养护记录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住户信息档案完备，实现动态管理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各项资料，分类规范，查阅方便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档案使用登记手续完备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有限空间作业管理记录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使用环保、节能材料的实施记录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存放环境条件符合档案管理制度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二、客户服务（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客户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有专人负责接待客户来访，接待人员具有专业服务素质，语言规范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建立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客服接待人员值班表、值（交）班记录及时完整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公示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至少每半年公开一次物业管理服务费用收支情况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满意度调查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每年至少开展一次物业服务满意度调查，调查覆盖率不低于</w:t>
            </w:r>
            <w:r>
              <w:rPr>
                <w:rFonts w:ascii="仿宋" w:hAnsi="仿宋" w:eastAsia="仿宋" w:cs="仿宋"/>
                <w:sz w:val="24"/>
              </w:rPr>
              <w:t>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征求住户服务意见并不断提高服务质量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满意率达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维修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建立并落实便民维修服务承诺制，维修记录与服务承诺相符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零修急修及时率</w:t>
            </w:r>
            <w:r>
              <w:rPr>
                <w:rFonts w:ascii="仿宋" w:hAnsi="仿宋" w:eastAsia="仿宋" w:cs="仿宋"/>
                <w:sz w:val="24"/>
              </w:rPr>
              <w:t>100%</w:t>
            </w:r>
            <w:r>
              <w:rPr>
                <w:rFonts w:hint="eastAsia" w:ascii="仿宋" w:hAnsi="仿宋" w:eastAsia="仿宋" w:cs="仿宋"/>
                <w:sz w:val="24"/>
              </w:rPr>
              <w:t>，返修率不高于</w:t>
            </w:r>
            <w:r>
              <w:rPr>
                <w:rFonts w:ascii="仿宋" w:hAnsi="仿宋" w:eastAsia="仿宋" w:cs="仿宋"/>
                <w:sz w:val="24"/>
              </w:rPr>
              <w:t>1%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有回访记录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现代化管理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配备对讲、监控、门禁等不少于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精神文明建设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每年开展有意义、健康向上的社区文化活动，活动有记录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积极组织和参与社区精神文明建设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三、房屋共用部位管理与维护（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系统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组团及幢、单元（门）、户门标志规范、清晰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装饰装修管理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装修施工人员登记手续完备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未发生擅自变动主体和承重结构影响房屋使用安全的行为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装修垃圾定点堆放，覆盖防护措施得当，定时清运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共用部位使用管理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房屋维修、养护记录完整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房屋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外观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按合同约定实施外墙保洁，记录完整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室外附件设施管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依法设置室外广告牌、霓虹灯等，且安装牢固、规范，无安全隐患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空调安装牢固，位置统一，管线整齐，冷凝水集中收集，无安全隐患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公共区域无乱堆放现象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四、共用设施设备管理（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要求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建立设施设备台账、设备卡，设施设备标识齐全、规范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设施设备运行正常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维护、保养、检查等管理制度健全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制定并实施年、季、月度设施设备维护、保养计划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日常设施设备检修、巡视、保养、紧急情况处理等记录齐全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未发生重大管理责任事故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操作人员熟练掌握、严格执行设施设备操作规程及保养规范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制定并实施维修工具、备品、备件和化学品等存放和管理制度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小修、急修及时率</w:t>
            </w:r>
            <w:r>
              <w:rPr>
                <w:rFonts w:ascii="仿宋" w:hAnsi="仿宋" w:eastAsia="仿宋" w:cs="仿宋"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</w:rPr>
              <w:t>％，记录完整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人员出入管理制度、交接班制度完善，记录完整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设备管线标识清晰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机房整洁、无渗漏、无积水、无杂物堆放，设备表面无积尘、无锈蚀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防鼠措施得当，防鼠板、防鼠网、防鼠药物等符合规范要求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变配电室安全警示标志规范、清晰、齐全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临时用电、超负荷用电管理措施规范，设备定期检测，能够随时启用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倒闸操作符合规范，记录完整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停、送电严格执行操作制度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共用部位照明正常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系统及子系统维修、保养、巡检计划完善，记录完整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中央控制室实行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电子监控安装位置合理，采集图像清晰，且保存监控信息不少于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天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给排水系统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生活用水消毒设备运行正常，紫外线消毒灯管定期更换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二次供水水质定期检测，符合卫生标准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水箱盖上锁设有密封条、防蚊网并上、通风良好，水箱周边无污染源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水泵、阀门、管网等无锈蚀、无跑冒滴漏、无污染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供水故障通知、处理及时，记录完整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给排水及中水系统设备完好、通畅，运行正常，保养记录完整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雨水井、化粪池疏通、清掏记录完整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安全疏散通道通畅，疏散标识规范醒目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电梯维修保养合同规范，维保单位的条件符合规定，监管措施得力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电梯按约定时间维修、保养，记录完整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轿厢、井道内保持清洁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机房内专用工具配置齐全、使用方便，平层标识图、平层标识线清晰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机房通风、照明情况良好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共用管线走向布局合理、整齐有序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道路通畅，路面整洁平整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路面井盖标识清晰，无缺损、无丢失，不影响车辆和行人通行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其他设备设施管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有航空标志设备设施的，标志灯等完好，定期检查维护，有记录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五、公共秩序维护（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消防中控室实行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小时专人值班制度，值班记录完整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消防通道通畅，无杂物堆放，无违章占用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消防安全定期巡检，隐患整改到位，记录完整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定期开展消防安全宣传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安全监控室、主出入口及关键岗位实行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小时值班，值班及交接班记录完整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安防系统定期进行巡视检查，记录完整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交通及车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临时车辆进出登记及时，记录完整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道闸、立体停车场设施运行良好，专业维护保养单位维修养护及时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车辆停放有序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停车场（库）定时巡检，记录完整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非机动车辆摆放整齐，无乱停乱放现象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非机动车充电管理规范，无私拉、乱扯充电现象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六、环境管理服务（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制定并严格执行保洁服务标准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垃圾实行分类管理，设置分类垃圾箱，引导业主分类投放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垃圾日产日清，有清运记录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设施设备及工具配置合理、定点存放且保持清洁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房屋共用部位及共用设施保持清洁，无擅自占用和堆放杂物现象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制定保洁工作计划，巡检记录完整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清洁剂、药剂符合环保要求，有专人管理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消毒灭杀有计划、有记录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14.</w:t>
            </w:r>
            <w:r>
              <w:rPr>
                <w:rFonts w:hint="eastAsia" w:ascii="仿宋" w:hAnsi="仿宋" w:eastAsia="仿宋" w:cs="仿宋"/>
                <w:sz w:val="24"/>
              </w:rPr>
              <w:t>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绿化养护管理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绿化平面图、苗木清单等资料齐全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落实绿化养护计划，养护设备、工具台帐完善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绿化药剂、肥料使用管理合理，记录完整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绿化作业安全防护措施得当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绿地无改变用途和破坏、践踏、占用现象，树木无悬挂物及晾晒物品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爱护绿化标识位置合理、醒目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重点树木品种实行标牌管理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七、创新服务及经营效益（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业主交费主动及时，收费率达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开展便民有偿服务，收效良好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项目经营状况良好，近两年来持续盈利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30" w:type="dxa"/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100</w:t>
            </w: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积极参与社会公益活动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项目设计符合绿色建筑运营要求</w:t>
            </w:r>
          </w:p>
        </w:tc>
        <w:tc>
          <w:tcPr>
            <w:tcW w:w="94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积极参与“脱贫攻坚”精准助贫工作</w:t>
            </w:r>
          </w:p>
        </w:tc>
        <w:tc>
          <w:tcPr>
            <w:tcW w:w="663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值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90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A048BC"/>
    <w:rsid w:val="0002504A"/>
    <w:rsid w:val="000E31E9"/>
    <w:rsid w:val="000E445E"/>
    <w:rsid w:val="0021432D"/>
    <w:rsid w:val="00217935"/>
    <w:rsid w:val="00302BB4"/>
    <w:rsid w:val="00352104"/>
    <w:rsid w:val="00576D1D"/>
    <w:rsid w:val="00634472"/>
    <w:rsid w:val="0067624B"/>
    <w:rsid w:val="006C5EA0"/>
    <w:rsid w:val="0073443C"/>
    <w:rsid w:val="008175A4"/>
    <w:rsid w:val="0083419C"/>
    <w:rsid w:val="00934192"/>
    <w:rsid w:val="00967DC3"/>
    <w:rsid w:val="00A33C35"/>
    <w:rsid w:val="00A539DA"/>
    <w:rsid w:val="00AF6A9D"/>
    <w:rsid w:val="00D06CBD"/>
    <w:rsid w:val="00D160D1"/>
    <w:rsid w:val="00D353E2"/>
    <w:rsid w:val="00DD2EE5"/>
    <w:rsid w:val="00F51FFC"/>
    <w:rsid w:val="00F55046"/>
    <w:rsid w:val="00FC6F42"/>
    <w:rsid w:val="01287884"/>
    <w:rsid w:val="07904271"/>
    <w:rsid w:val="14DF3372"/>
    <w:rsid w:val="18716B18"/>
    <w:rsid w:val="18A30BD4"/>
    <w:rsid w:val="28A048BC"/>
    <w:rsid w:val="313624F4"/>
    <w:rsid w:val="34DE3E37"/>
    <w:rsid w:val="3A5D47F0"/>
    <w:rsid w:val="3EC12A5F"/>
    <w:rsid w:val="44E11F3A"/>
    <w:rsid w:val="46A06A0F"/>
    <w:rsid w:val="48054067"/>
    <w:rsid w:val="483A6D09"/>
    <w:rsid w:val="58982B41"/>
    <w:rsid w:val="592E145C"/>
    <w:rsid w:val="59D42ACE"/>
    <w:rsid w:val="5FF16C4E"/>
    <w:rsid w:val="621841CA"/>
    <w:rsid w:val="624C4687"/>
    <w:rsid w:val="6DAA344F"/>
    <w:rsid w:val="75F1565E"/>
    <w:rsid w:val="76042957"/>
    <w:rsid w:val="785A1C60"/>
    <w:rsid w:val="7F7952CC"/>
    <w:rsid w:val="7FE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locked/>
    <w:uiPriority w:val="99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4">
    <w:name w:val="Body Text Indent Char"/>
    <w:basedOn w:val="10"/>
    <w:link w:val="3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Footer Char"/>
    <w:basedOn w:val="10"/>
    <w:link w:val="4"/>
    <w:semiHidden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HTML Preformatted Char"/>
    <w:basedOn w:val="10"/>
    <w:link w:val="6"/>
    <w:semiHidden/>
    <w:qFormat/>
    <w:locked/>
    <w:uiPriority w:val="99"/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4518</Words>
  <Characters>25756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2021-05-31T07:12:00Z</dcterms:created>
  <dc:creator>Administrator</dc:creator>
  <cp:lastModifiedBy>Administrator</cp:lastModifiedBy>
  <dcterms:modified xsi:type="dcterms:W3CDTF">2021-06-03T05:03:58Z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6441E08A6F644C88B125B4225BB40764</vt:lpwstr>
  </property>
</Properties>
</file>